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E416" w14:textId="5E566F8B"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F61A53">
        <w:rPr>
          <w:color w:val="000000" w:themeColor="text1"/>
          <w:sz w:val="20"/>
        </w:rPr>
        <w:t xml:space="preserve"> </w:t>
      </w:r>
      <w:r w:rsidR="00986507">
        <w:rPr>
          <w:color w:val="000000" w:themeColor="text1"/>
          <w:sz w:val="20"/>
          <w:lang w:val="en-US"/>
        </w:rPr>
        <w:t>8</w:t>
      </w:r>
      <w:r w:rsidR="000A1A04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14:paraId="47391076" w14:textId="0100DD53"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384816">
        <w:rPr>
          <w:color w:val="000000"/>
          <w:sz w:val="20"/>
        </w:rPr>
        <w:t>2</w:t>
      </w:r>
      <w:r w:rsidR="00396531">
        <w:rPr>
          <w:color w:val="000000"/>
          <w:sz w:val="20"/>
        </w:rPr>
        <w:t>2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0A1A04">
        <w:rPr>
          <w:color w:val="000000"/>
          <w:sz w:val="20"/>
        </w:rPr>
        <w:t>5</w:t>
      </w:r>
    </w:p>
    <w:p w14:paraId="77FEE117" w14:textId="77777777" w:rsidR="004710B1" w:rsidRPr="008205FA" w:rsidRDefault="004710B1" w:rsidP="004D2C32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080E2213" w14:textId="550825DF" w:rsidR="004710B1" w:rsidRDefault="004710B1" w:rsidP="004D2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 w:rsidR="00E6617E">
        <w:rPr>
          <w:b/>
          <w:sz w:val="24"/>
          <w:szCs w:val="24"/>
        </w:rPr>
        <w:t xml:space="preserve">доработанному </w:t>
      </w:r>
      <w:r>
        <w:rPr>
          <w:b/>
          <w:sz w:val="24"/>
          <w:szCs w:val="24"/>
        </w:rPr>
        <w:t>проекту документа</w:t>
      </w:r>
    </w:p>
    <w:p w14:paraId="213DE9FA" w14:textId="0B52B23D" w:rsidR="00E633AE" w:rsidRDefault="00384816" w:rsidP="004D2C32">
      <w:pPr>
        <w:jc w:val="center"/>
        <w:rPr>
          <w:b/>
          <w:sz w:val="24"/>
          <w:szCs w:val="24"/>
        </w:rPr>
      </w:pPr>
      <w:r w:rsidRPr="00384816">
        <w:rPr>
          <w:b/>
          <w:sz w:val="24"/>
          <w:szCs w:val="24"/>
        </w:rPr>
        <w:t>«</w:t>
      </w:r>
      <w:r w:rsidR="00642FA4" w:rsidRPr="00642FA4">
        <w:rPr>
          <w:b/>
          <w:sz w:val="24"/>
          <w:szCs w:val="24"/>
        </w:rPr>
        <w:t>Политика по трансграничной аккредитации</w:t>
      </w:r>
      <w:r w:rsidRPr="00384816">
        <w:rPr>
          <w:b/>
          <w:sz w:val="24"/>
          <w:szCs w:val="24"/>
        </w:rPr>
        <w:t>»</w:t>
      </w:r>
      <w:r w:rsidR="00172E1D">
        <w:rPr>
          <w:b/>
          <w:sz w:val="24"/>
          <w:szCs w:val="24"/>
        </w:rPr>
        <w:t xml:space="preserve"> (п</w:t>
      </w:r>
      <w:r w:rsidR="00172E1D" w:rsidRPr="00172E1D">
        <w:rPr>
          <w:b/>
          <w:sz w:val="24"/>
          <w:szCs w:val="24"/>
          <w:lang w:val="ky-KG"/>
        </w:rPr>
        <w:t>роект ред</w:t>
      </w:r>
      <w:r w:rsidR="00172E1D">
        <w:rPr>
          <w:b/>
          <w:sz w:val="24"/>
          <w:szCs w:val="24"/>
          <w:lang w:val="ky-KG"/>
        </w:rPr>
        <w:t>акции</w:t>
      </w:r>
      <w:r w:rsidR="00172E1D" w:rsidRPr="00172E1D">
        <w:rPr>
          <w:b/>
          <w:sz w:val="24"/>
          <w:szCs w:val="24"/>
          <w:lang w:val="ky-KG"/>
        </w:rPr>
        <w:t xml:space="preserve"> №7 от 18.08.2025г.</w:t>
      </w:r>
      <w:r w:rsidR="00172E1D">
        <w:rPr>
          <w:b/>
          <w:sz w:val="24"/>
          <w:szCs w:val="24"/>
          <w:lang w:val="ky-KG"/>
        </w:rPr>
        <w:t>)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7C0A8848" w:rsidR="00151A9A" w:rsidRDefault="00151A9A" w:rsidP="00396531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84816">
              <w:rPr>
                <w:rFonts w:ascii="Times New Roman CYR" w:hAnsi="Times New Roman CYR"/>
                <w:sz w:val="20"/>
              </w:rPr>
              <w:t>2</w:t>
            </w:r>
            <w:r w:rsidR="00396531">
              <w:rPr>
                <w:rFonts w:ascii="Times New Roman CYR" w:hAnsi="Times New Roman CYR"/>
                <w:sz w:val="20"/>
              </w:rPr>
              <w:t>2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00CC61EE" w14:textId="3466D3F2" w:rsidR="00F440EC" w:rsidRPr="007067AE" w:rsidRDefault="001D48D9" w:rsidP="00D31E5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1E54">
              <w:rPr>
                <w:sz w:val="22"/>
                <w:szCs w:val="22"/>
              </w:rPr>
              <w:t>предложения не поступали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7DFCF68C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5870E48E" w14:textId="77777777" w:rsidR="00EC5FDD" w:rsidRDefault="00DD157C" w:rsidP="00EC5FDD">
            <w:pPr>
              <w:pStyle w:val="a3"/>
              <w:spacing w:line="235" w:lineRule="exact"/>
              <w:jc w:val="center"/>
              <w:rPr>
                <w:bCs/>
                <w:iCs/>
                <w:sz w:val="22"/>
                <w:szCs w:val="22"/>
              </w:rPr>
            </w:pPr>
            <w:r w:rsidRPr="00D22005">
              <w:rPr>
                <w:sz w:val="22"/>
                <w:szCs w:val="22"/>
              </w:rPr>
              <w:t>(</w:t>
            </w:r>
            <w:r w:rsidR="00EC5FDD" w:rsidRPr="00EC5FDD">
              <w:rPr>
                <w:bCs/>
                <w:iCs/>
                <w:sz w:val="22"/>
                <w:szCs w:val="22"/>
              </w:rPr>
              <w:t xml:space="preserve">письмо </w:t>
            </w:r>
            <w:r w:rsidR="00EC5FDD">
              <w:rPr>
                <w:bCs/>
                <w:iCs/>
                <w:sz w:val="22"/>
                <w:szCs w:val="22"/>
              </w:rPr>
              <w:t xml:space="preserve">заместителя Председателя </w:t>
            </w:r>
            <w:r w:rsidR="00EC5FDD" w:rsidRPr="00EC5FDD">
              <w:rPr>
                <w:bCs/>
                <w:iCs/>
                <w:sz w:val="22"/>
                <w:szCs w:val="22"/>
              </w:rPr>
              <w:t xml:space="preserve">Госстандарта </w:t>
            </w:r>
            <w:proofErr w:type="spellStart"/>
            <w:r w:rsidR="00EC5FDD">
              <w:rPr>
                <w:bCs/>
                <w:iCs/>
                <w:sz w:val="22"/>
                <w:szCs w:val="22"/>
              </w:rPr>
              <w:t>И.А.Кисленко</w:t>
            </w:r>
            <w:proofErr w:type="spellEnd"/>
            <w:r w:rsidR="00EC5FDD"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08D622CF" w14:textId="6625EFE4" w:rsidR="009006FD" w:rsidRPr="00D22005" w:rsidRDefault="00EC5FDD" w:rsidP="00EC5FDD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EC5FDD">
              <w:rPr>
                <w:bCs/>
                <w:iCs/>
                <w:sz w:val="22"/>
                <w:szCs w:val="22"/>
              </w:rPr>
              <w:t>№ 05-09/1298 от 30.09.2025</w:t>
            </w:r>
            <w:r w:rsidR="00D22005" w:rsidRPr="00D22005">
              <w:rPr>
                <w:bCs/>
                <w:iCs/>
                <w:sz w:val="24"/>
                <w:szCs w:val="24"/>
              </w:rPr>
              <w:t>)</w:t>
            </w:r>
          </w:p>
        </w:tc>
      </w:tr>
      <w:tr w:rsidR="00EC5FDD" w:rsidRPr="007067AE" w14:paraId="022DC1B8" w14:textId="77777777" w:rsidTr="00EC5FDD">
        <w:trPr>
          <w:trHeight w:val="461"/>
        </w:trPr>
        <w:tc>
          <w:tcPr>
            <w:tcW w:w="9067" w:type="dxa"/>
            <w:shd w:val="clear" w:color="auto" w:fill="auto"/>
          </w:tcPr>
          <w:p w14:paraId="781F165B" w14:textId="77777777" w:rsidR="00CC07BB" w:rsidRPr="00CC07BB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Cs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 xml:space="preserve">По результатам рассмотрения проекта документа «Политика по трансграничной аккредитации», доработанного </w:t>
            </w:r>
            <w:proofErr w:type="spellStart"/>
            <w:r w:rsidRPr="00CC07BB">
              <w:rPr>
                <w:bCs/>
                <w:sz w:val="22"/>
                <w:szCs w:val="22"/>
              </w:rPr>
              <w:t>Кыргызским</w:t>
            </w:r>
            <w:proofErr w:type="spellEnd"/>
            <w:r w:rsidRPr="00CC07BB">
              <w:rPr>
                <w:bCs/>
                <w:sz w:val="22"/>
                <w:szCs w:val="22"/>
              </w:rPr>
              <w:t xml:space="preserve"> центром аккредитации, в пределах компетенции Государственного предприятия «БГЦА» сообщаем следующее.</w:t>
            </w:r>
          </w:p>
          <w:p w14:paraId="5BA995DF" w14:textId="77777777" w:rsidR="00CC07BB" w:rsidRPr="00CC07BB" w:rsidRDefault="00CC07BB" w:rsidP="00CC07BB">
            <w:pPr>
              <w:pStyle w:val="a3"/>
              <w:spacing w:line="235" w:lineRule="exact"/>
              <w:ind w:firstLine="738"/>
              <w:rPr>
                <w:bCs/>
                <w:sz w:val="22"/>
                <w:szCs w:val="22"/>
                <w:u w:val="single"/>
              </w:rPr>
            </w:pPr>
            <w:r w:rsidRPr="00CC07BB">
              <w:rPr>
                <w:bCs/>
                <w:sz w:val="22"/>
                <w:szCs w:val="22"/>
                <w:u w:val="single"/>
              </w:rPr>
              <w:t>По всему тексту проекта документа</w:t>
            </w:r>
          </w:p>
          <w:p w14:paraId="13E76CBF" w14:textId="77777777" w:rsidR="00CC07BB" w:rsidRPr="00CC07BB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Cs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>Полагаем целесообразным привести к единообразию используемые в вышеуказанном проекте документа шрифты в соответствии с одобренным МГС документом «Правила разработки, принятия, обновления и отмены документов Евразийского сотрудничества по аккредитации».</w:t>
            </w:r>
          </w:p>
          <w:p w14:paraId="3043A1F8" w14:textId="77777777" w:rsidR="00CC07BB" w:rsidRPr="00CC07BB" w:rsidRDefault="00CC07BB" w:rsidP="00CC07BB">
            <w:pPr>
              <w:pStyle w:val="a3"/>
              <w:numPr>
                <w:ilvl w:val="0"/>
                <w:numId w:val="22"/>
              </w:numPr>
              <w:spacing w:line="235" w:lineRule="exact"/>
              <w:rPr>
                <w:bCs/>
                <w:sz w:val="22"/>
                <w:szCs w:val="22"/>
                <w:u w:val="single"/>
              </w:rPr>
            </w:pPr>
            <w:r w:rsidRPr="00CC07BB">
              <w:rPr>
                <w:bCs/>
                <w:sz w:val="22"/>
                <w:szCs w:val="22"/>
                <w:u w:val="single"/>
              </w:rPr>
              <w:t>Область применения</w:t>
            </w:r>
          </w:p>
          <w:p w14:paraId="2DA984FB" w14:textId="77777777" w:rsidR="00CC07BB" w:rsidRPr="00CC07BB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Cs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 xml:space="preserve">Шестой абзац изложить в следующей редакции: </w:t>
            </w:r>
            <w:r w:rsidRPr="00CC07BB">
              <w:rPr>
                <w:bCs/>
                <w:iCs/>
                <w:sz w:val="22"/>
                <w:szCs w:val="22"/>
              </w:rPr>
              <w:t xml:space="preserve">Члены ЕААС должны рассматривать возможность предоставления услуг по аккредитации органам по оценке соответствия, расположенным на территории государств -членов ЕААС </w:t>
            </w:r>
            <w:r w:rsidRPr="00CC07BB">
              <w:rPr>
                <w:iCs/>
                <w:sz w:val="22"/>
                <w:szCs w:val="22"/>
              </w:rPr>
              <w:t>государств органов по аккредитации-членов ЕААС</w:t>
            </w:r>
            <w:r w:rsidRPr="00CC07BB">
              <w:rPr>
                <w:bCs/>
                <w:iCs/>
                <w:sz w:val="22"/>
                <w:szCs w:val="22"/>
              </w:rPr>
              <w:t xml:space="preserve">, исключительно в случаях, предусмотренных пунктом 4.2 настоящей политики. </w:t>
            </w:r>
            <w:r w:rsidRPr="00CC07BB">
              <w:rPr>
                <w:bCs/>
                <w:sz w:val="22"/>
                <w:szCs w:val="22"/>
              </w:rPr>
              <w:t xml:space="preserve">(т.к. членами ЕААС являются не государства, а органы по аккредитации). </w:t>
            </w:r>
          </w:p>
          <w:p w14:paraId="5B5F5B83" w14:textId="77777777" w:rsidR="00CC07BB" w:rsidRPr="00CC07BB" w:rsidRDefault="00CC07BB" w:rsidP="00CC07BB">
            <w:pPr>
              <w:pStyle w:val="a3"/>
              <w:spacing w:line="235" w:lineRule="exact"/>
              <w:ind w:firstLine="738"/>
              <w:rPr>
                <w:bCs/>
                <w:sz w:val="22"/>
                <w:szCs w:val="22"/>
                <w:u w:val="single"/>
              </w:rPr>
            </w:pPr>
            <w:r w:rsidRPr="00CC07BB">
              <w:rPr>
                <w:bCs/>
                <w:sz w:val="22"/>
                <w:szCs w:val="22"/>
                <w:u w:val="single"/>
              </w:rPr>
              <w:t>П. 4.2 Заявка на аккредитацию и анализ ресурсов</w:t>
            </w:r>
          </w:p>
          <w:p w14:paraId="7446919E" w14:textId="77777777" w:rsidR="00CC07BB" w:rsidRPr="00CC07BB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Cs/>
                <w:iCs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>Подпункт 4.2.2.3 изложить в следующей редакци</w:t>
            </w:r>
            <w:bookmarkStart w:id="0" w:name="_GoBack"/>
            <w:bookmarkEnd w:id="0"/>
            <w:r w:rsidRPr="00CC07BB">
              <w:rPr>
                <w:bCs/>
                <w:sz w:val="22"/>
                <w:szCs w:val="22"/>
              </w:rPr>
              <w:t>и: «</w:t>
            </w:r>
            <w:r w:rsidRPr="00CC07BB">
              <w:rPr>
                <w:bCs/>
                <w:iCs/>
                <w:sz w:val="22"/>
                <w:szCs w:val="22"/>
              </w:rPr>
              <w:t xml:space="preserve">Рассмотреть возможность взаимодействия с местным органом по аккредитации, включая проведение совместной или наблюдаемой </w:t>
            </w:r>
            <w:proofErr w:type="gramStart"/>
            <w:r w:rsidRPr="00CC07BB">
              <w:rPr>
                <w:bCs/>
                <w:iCs/>
                <w:sz w:val="22"/>
                <w:szCs w:val="22"/>
              </w:rPr>
              <w:t>оценки</w:t>
            </w:r>
            <w:proofErr w:type="gramEnd"/>
            <w:r w:rsidRPr="00CC07BB">
              <w:rPr>
                <w:bCs/>
                <w:iCs/>
                <w:sz w:val="22"/>
                <w:szCs w:val="22"/>
              </w:rPr>
              <w:t xml:space="preserve"> </w:t>
            </w:r>
            <w:r w:rsidRPr="00CC07BB">
              <w:rPr>
                <w:iCs/>
                <w:sz w:val="22"/>
                <w:szCs w:val="22"/>
              </w:rPr>
              <w:t>или участие представителей местного органа в оценке в качестве наблюдателя</w:t>
            </w:r>
            <w:r w:rsidRPr="00CC07BB">
              <w:rPr>
                <w:bCs/>
                <w:iCs/>
                <w:sz w:val="22"/>
                <w:szCs w:val="22"/>
              </w:rPr>
              <w:t>»;</w:t>
            </w:r>
          </w:p>
          <w:p w14:paraId="7DE428E4" w14:textId="77777777" w:rsidR="00CC07BB" w:rsidRPr="00CC07BB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Cs/>
                <w:iCs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 xml:space="preserve">Подпункт 4.2.2.5 изложить в следующей редакции: </w:t>
            </w:r>
            <w:r w:rsidRPr="00CC07BB">
              <w:rPr>
                <w:bCs/>
                <w:iCs/>
                <w:sz w:val="22"/>
                <w:szCs w:val="22"/>
              </w:rPr>
              <w:t>«Убедиться, что</w:t>
            </w:r>
            <w:r w:rsidRPr="00CC07BB">
              <w:rPr>
                <w:bCs/>
                <w:sz w:val="22"/>
                <w:szCs w:val="22"/>
              </w:rPr>
              <w:t xml:space="preserve"> </w:t>
            </w:r>
            <w:r w:rsidRPr="00CC07BB">
              <w:rPr>
                <w:bCs/>
                <w:iCs/>
                <w:sz w:val="22"/>
                <w:szCs w:val="22"/>
              </w:rPr>
              <w:t xml:space="preserve">все предпринимаемые действия </w:t>
            </w:r>
            <w:r w:rsidRPr="00CC07BB">
              <w:rPr>
                <w:iCs/>
                <w:sz w:val="22"/>
                <w:szCs w:val="22"/>
              </w:rPr>
              <w:t>в отношении</w:t>
            </w:r>
            <w:r w:rsidRPr="00CC07BB">
              <w:rPr>
                <w:bCs/>
                <w:iCs/>
                <w:sz w:val="22"/>
                <w:szCs w:val="22"/>
              </w:rPr>
              <w:t xml:space="preserve"> по аккредитации </w:t>
            </w:r>
            <w:r w:rsidRPr="00CC07BB">
              <w:rPr>
                <w:iCs/>
                <w:sz w:val="22"/>
                <w:szCs w:val="22"/>
              </w:rPr>
              <w:t>заявителя</w:t>
            </w:r>
            <w:r w:rsidRPr="00CC07BB">
              <w:rPr>
                <w:bCs/>
                <w:iCs/>
                <w:sz w:val="22"/>
                <w:szCs w:val="22"/>
              </w:rPr>
              <w:t xml:space="preserve"> соответствуют положениям настоящей политики и принципам сотрудничества между органами по аккредитации-членами ЕААС.</w:t>
            </w:r>
          </w:p>
          <w:p w14:paraId="3501B2F5" w14:textId="77777777" w:rsidR="00CC07BB" w:rsidRPr="00CC07BB" w:rsidRDefault="00CC07BB" w:rsidP="00CC07BB">
            <w:pPr>
              <w:pStyle w:val="a3"/>
              <w:spacing w:line="235" w:lineRule="exact"/>
              <w:ind w:firstLine="738"/>
              <w:rPr>
                <w:bCs/>
                <w:sz w:val="22"/>
                <w:szCs w:val="22"/>
                <w:u w:val="single"/>
              </w:rPr>
            </w:pPr>
            <w:r w:rsidRPr="00CC07BB">
              <w:rPr>
                <w:bCs/>
                <w:sz w:val="22"/>
                <w:szCs w:val="22"/>
                <w:u w:val="single"/>
              </w:rPr>
              <w:lastRenderedPageBreak/>
              <w:t>Пункт 4.3 Взаимодействие с местным органом по аккредитации</w:t>
            </w:r>
          </w:p>
          <w:p w14:paraId="694A49F8" w14:textId="09CA33DF" w:rsidR="00EC5FDD" w:rsidRPr="007067AE" w:rsidRDefault="00CC07BB" w:rsidP="0059665B">
            <w:pPr>
              <w:pStyle w:val="a3"/>
              <w:spacing w:line="235" w:lineRule="exact"/>
              <w:ind w:firstLine="738"/>
              <w:jc w:val="both"/>
              <w:rPr>
                <w:b/>
                <w:sz w:val="22"/>
                <w:szCs w:val="22"/>
              </w:rPr>
            </w:pPr>
            <w:r w:rsidRPr="00CC07BB">
              <w:rPr>
                <w:bCs/>
                <w:sz w:val="22"/>
                <w:szCs w:val="22"/>
              </w:rPr>
              <w:t>Полагаем целесообразным исключить подпункт 4.3.8 из проекта документа ввиду его избыточности, т.к. информацию о взаимодействии зарубежного органа по аккредитации с местным органом по аккредитации (в части информирования/уведомления) отражает подпункт 4.3.2.</w:t>
            </w:r>
          </w:p>
        </w:tc>
        <w:tc>
          <w:tcPr>
            <w:tcW w:w="4117" w:type="dxa"/>
            <w:shd w:val="clear" w:color="auto" w:fill="auto"/>
          </w:tcPr>
          <w:p w14:paraId="3615ECE4" w14:textId="13D18E3C" w:rsidR="00EC5FDD" w:rsidRPr="007067AE" w:rsidRDefault="00EC5FD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2CF3D96" w14:textId="77777777"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14:paraId="0A44444B" w14:textId="1DADC1B8" w:rsidR="00EE356C" w:rsidRPr="008A6945" w:rsidRDefault="006D0289" w:rsidP="00E6617E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r w:rsidR="000F49FB" w:rsidRPr="000F49FB">
              <w:rPr>
                <w:sz w:val="22"/>
                <w:szCs w:val="22"/>
              </w:rPr>
              <w:t>предложения не поступали</w:t>
            </w:r>
            <w:r w:rsidRPr="00642FA4">
              <w:rPr>
                <w:sz w:val="22"/>
                <w:szCs w:val="22"/>
              </w:rPr>
              <w:t>)</w:t>
            </w: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 xml:space="preserve">Кыргызская Республика </w:t>
            </w:r>
          </w:p>
          <w:p w14:paraId="6428787B" w14:textId="77777777" w:rsidR="00EE356C" w:rsidRPr="00942379" w:rsidRDefault="00EE356C" w:rsidP="00384816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384816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5D7B2DE4" w14:textId="77777777" w:rsidR="00E6617E" w:rsidRPr="00E6617E" w:rsidRDefault="00EE356C" w:rsidP="00E6617E">
            <w:pPr>
              <w:jc w:val="center"/>
              <w:rPr>
                <w:bCs/>
                <w:iCs/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E6617E" w:rsidRPr="00E6617E">
              <w:rPr>
                <w:bCs/>
                <w:iCs/>
                <w:sz w:val="22"/>
                <w:szCs w:val="22"/>
              </w:rPr>
              <w:t xml:space="preserve">письмо </w:t>
            </w:r>
            <w:proofErr w:type="spellStart"/>
            <w:r w:rsidR="00E6617E" w:rsidRPr="00E6617E">
              <w:rPr>
                <w:bCs/>
                <w:iCs/>
                <w:sz w:val="22"/>
                <w:szCs w:val="22"/>
              </w:rPr>
              <w:t>Врио</w:t>
            </w:r>
            <w:proofErr w:type="spellEnd"/>
            <w:r w:rsidR="00E6617E" w:rsidRPr="00E6617E">
              <w:rPr>
                <w:bCs/>
                <w:iCs/>
                <w:sz w:val="22"/>
                <w:szCs w:val="22"/>
              </w:rPr>
              <w:t xml:space="preserve"> начальника</w:t>
            </w:r>
          </w:p>
          <w:p w14:paraId="049AE889" w14:textId="303BC5F6" w:rsidR="00E6617E" w:rsidRDefault="00E6617E" w:rsidP="00E6617E">
            <w:pPr>
              <w:jc w:val="center"/>
              <w:rPr>
                <w:bCs/>
                <w:iCs/>
                <w:sz w:val="22"/>
                <w:szCs w:val="22"/>
              </w:rPr>
            </w:pPr>
            <w:r w:rsidRPr="00E6617E">
              <w:rPr>
                <w:bCs/>
                <w:iCs/>
                <w:sz w:val="22"/>
                <w:szCs w:val="22"/>
              </w:rPr>
              <w:t>Управления правового обеспечения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E6617E">
              <w:rPr>
                <w:bCs/>
                <w:iCs/>
                <w:sz w:val="22"/>
                <w:szCs w:val="22"/>
              </w:rPr>
              <w:t>и международного взаимодействия</w:t>
            </w:r>
            <w:r w:rsidR="00EE4D5F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E6617E">
              <w:rPr>
                <w:bCs/>
                <w:iCs/>
                <w:sz w:val="22"/>
                <w:szCs w:val="22"/>
              </w:rPr>
              <w:t>Росаккредитации</w:t>
            </w:r>
            <w:proofErr w:type="spellEnd"/>
            <w:r w:rsidRPr="00E6617E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Cs/>
                <w:sz w:val="22"/>
                <w:szCs w:val="22"/>
              </w:rPr>
              <w:t>О.В.Анисимовой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</w:t>
            </w:r>
          </w:p>
          <w:p w14:paraId="37F7EA59" w14:textId="45D76FC4" w:rsidR="00EE356C" w:rsidRPr="0042175F" w:rsidRDefault="00E6617E" w:rsidP="00E6617E">
            <w:pPr>
              <w:jc w:val="center"/>
              <w:rPr>
                <w:sz w:val="22"/>
                <w:szCs w:val="22"/>
              </w:rPr>
            </w:pPr>
            <w:r w:rsidRPr="00E6617E">
              <w:rPr>
                <w:bCs/>
                <w:iCs/>
                <w:sz w:val="22"/>
                <w:szCs w:val="22"/>
              </w:rPr>
              <w:t>№ 12921/07-ОА от 18.09.2025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1F17A9" w:rsidRPr="007067AE" w14:paraId="60A3A306" w14:textId="77777777" w:rsidTr="00396531">
        <w:trPr>
          <w:trHeight w:val="637"/>
        </w:trPr>
        <w:tc>
          <w:tcPr>
            <w:tcW w:w="9067" w:type="dxa"/>
            <w:shd w:val="clear" w:color="auto" w:fill="auto"/>
          </w:tcPr>
          <w:p w14:paraId="47DC8728" w14:textId="2E839B89" w:rsidR="00E6617E" w:rsidRPr="00E6617E" w:rsidRDefault="00E6617E" w:rsidP="00E6617E">
            <w:pPr>
              <w:overflowPunct/>
              <w:autoSpaceDE/>
              <w:autoSpaceDN/>
              <w:adjustRightInd/>
              <w:ind w:firstLine="706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В Уставе Евразийского сотрудничества по аккредитации указано, что «3.1 Членами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Ассоциации могут быть органы по аккредитации, признающие Устав Ассоциации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и уплачивающие взносы». Таким образом, государства не могут быть членами ЕААС.</w:t>
            </w:r>
          </w:p>
          <w:p w14:paraId="68B5E882" w14:textId="061FD92F" w:rsidR="001F17A9" w:rsidRPr="000A1A04" w:rsidRDefault="00E6617E" w:rsidP="00461EB7">
            <w:pPr>
              <w:overflowPunct/>
              <w:autoSpaceDE/>
              <w:autoSpaceDN/>
              <w:adjustRightInd/>
              <w:ind w:firstLine="706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В этой связи представляется необходимым периодически встречающиеся по тексту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Политики упоминания о «государствах-членах ЕААС», заменив их на подходящие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смыслу варианты, например, «органы по аккредитации-члены ЕААС» или «государство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регистрации органа по аккредитации-члена ЕААС». В частности, с учетом данного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замечания, в третьем абзаце раздела «1. Область применения» можно вместо «…и которые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намерены пройти аккредитацию в другом органе по аккредитации государства-члена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 xml:space="preserve">ЕААС» использовать </w:t>
            </w:r>
            <w:proofErr w:type="gramStart"/>
            <w:r w:rsidRPr="00E6617E">
              <w:rPr>
                <w:sz w:val="22"/>
                <w:szCs w:val="22"/>
              </w:rPr>
              <w:t>«….</w:t>
            </w:r>
            <w:proofErr w:type="gramEnd"/>
            <w:r w:rsidRPr="00E6617E">
              <w:rPr>
                <w:sz w:val="22"/>
                <w:szCs w:val="22"/>
              </w:rPr>
              <w:t>и которые намерены пройти аккредитацию в другом органе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аккредитации-члене ЕААС».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5A5B1D3" w14:textId="2D8A7E97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</w:tc>
      </w:tr>
      <w:tr w:rsidR="000A1A04" w:rsidRPr="007067AE" w14:paraId="2FBC2EB3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E33F13F" w14:textId="0EDBA217" w:rsidR="000A1A04" w:rsidRPr="000A1A04" w:rsidRDefault="00E6617E" w:rsidP="00461EB7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Также, в связи с вышеизложенным, абзац 4 упомянутого раздела предлагается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изложить в следующей редакции: «Настоящая политика не предусматривает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продвижение услуг по аккредитации одного органа по аккредитации на территории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государства регистрации другого органа по аккредитации-члена ЕААС».</w:t>
            </w:r>
          </w:p>
        </w:tc>
        <w:tc>
          <w:tcPr>
            <w:tcW w:w="4117" w:type="dxa"/>
            <w:shd w:val="clear" w:color="auto" w:fill="auto"/>
          </w:tcPr>
          <w:p w14:paraId="19BAD64E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1A04" w:rsidRPr="007067AE" w14:paraId="66FFA3B1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513C3566" w14:textId="1AE600CF" w:rsidR="000A1A04" w:rsidRPr="000A1A04" w:rsidRDefault="00E6617E" w:rsidP="00461EB7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В определении термина «Зарубежный орган по аккредитации» (раздел 2) вместо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«и при этом находится» предлагается использовать «и при этом имеет регистрацию».</w:t>
            </w:r>
          </w:p>
        </w:tc>
        <w:tc>
          <w:tcPr>
            <w:tcW w:w="4117" w:type="dxa"/>
            <w:shd w:val="clear" w:color="auto" w:fill="auto"/>
          </w:tcPr>
          <w:p w14:paraId="0DD95E34" w14:textId="77777777" w:rsidR="000A1A04" w:rsidRDefault="000A1A0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2FA4" w:rsidRPr="007067AE" w14:paraId="537EAB6C" w14:textId="77777777" w:rsidTr="001F17A9">
        <w:trPr>
          <w:trHeight w:val="461"/>
        </w:trPr>
        <w:tc>
          <w:tcPr>
            <w:tcW w:w="9067" w:type="dxa"/>
            <w:vMerge w:val="restart"/>
            <w:shd w:val="clear" w:color="auto" w:fill="auto"/>
          </w:tcPr>
          <w:p w14:paraId="1C023C31" w14:textId="684F523A" w:rsidR="00642FA4" w:rsidRPr="000A1A04" w:rsidRDefault="00E6617E" w:rsidP="00E6617E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В разделе «3. Нормативные ссылки и источники» ссылку на документ IAF/ILAC A2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«Многосторонние договоренности о взаимном признании договоренности IAF/ILAC: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требования и процедуры оценки единого органа по аккредитации» заменить на ссылку на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аналогичный документ ЕААС «Порядок осуществления паритетных оценок органов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аккредитации».</w:t>
            </w:r>
          </w:p>
        </w:tc>
        <w:tc>
          <w:tcPr>
            <w:tcW w:w="4117" w:type="dxa"/>
            <w:shd w:val="clear" w:color="auto" w:fill="auto"/>
          </w:tcPr>
          <w:p w14:paraId="1CCBDA34" w14:textId="77777777" w:rsidR="00642FA4" w:rsidRDefault="00642FA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2FA4" w:rsidRPr="007067AE" w14:paraId="49C9AE42" w14:textId="77777777" w:rsidTr="001F17A9">
        <w:trPr>
          <w:trHeight w:val="461"/>
        </w:trPr>
        <w:tc>
          <w:tcPr>
            <w:tcW w:w="9067" w:type="dxa"/>
            <w:vMerge/>
            <w:shd w:val="clear" w:color="auto" w:fill="auto"/>
          </w:tcPr>
          <w:p w14:paraId="716C6116" w14:textId="71D00FB1" w:rsidR="00642FA4" w:rsidRPr="000A1A04" w:rsidRDefault="00642FA4" w:rsidP="00396531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4117" w:type="dxa"/>
            <w:shd w:val="clear" w:color="auto" w:fill="auto"/>
          </w:tcPr>
          <w:p w14:paraId="65D57A82" w14:textId="77777777" w:rsidR="00642FA4" w:rsidRDefault="00642FA4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617E" w:rsidRPr="007067AE" w14:paraId="5C5A83FE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1C64E8B9" w14:textId="4ABD2462" w:rsidR="00E6617E" w:rsidRPr="000A1A04" w:rsidRDefault="00E6617E" w:rsidP="00E6617E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Пункт 4.2.1.1 предлагается исключить, поскольку, как было указано выше, членами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ЕААС являются не государства региона, а зарегистрированные в их юрисдикциях органы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 xml:space="preserve">по </w:t>
            </w:r>
            <w:r w:rsidRPr="00E6617E">
              <w:rPr>
                <w:sz w:val="22"/>
                <w:szCs w:val="22"/>
              </w:rPr>
              <w:lastRenderedPageBreak/>
              <w:t>аккредитации. Таким образом, государство, в котором отсутствует орган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аккредитации, не может быть представлено в ЕААС.</w:t>
            </w:r>
          </w:p>
        </w:tc>
        <w:tc>
          <w:tcPr>
            <w:tcW w:w="4117" w:type="dxa"/>
            <w:shd w:val="clear" w:color="auto" w:fill="auto"/>
          </w:tcPr>
          <w:p w14:paraId="6640BB33" w14:textId="77777777" w:rsidR="00E6617E" w:rsidRDefault="00E6617E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617E" w:rsidRPr="007067AE" w14:paraId="7C086A35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D3CA8F5" w14:textId="1592EA2D" w:rsidR="00E6617E" w:rsidRPr="00E6617E" w:rsidRDefault="00E6617E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Пункт 4.2.1.2 предлагается изложить в следующей редакции: «ОА - член ЕААС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 xml:space="preserve">не </w:t>
            </w:r>
            <w:r w:rsidRPr="00A82FA9">
              <w:rPr>
                <w:b/>
                <w:sz w:val="22"/>
                <w:szCs w:val="22"/>
              </w:rPr>
              <w:t>осуществляет аккредитацию в требуемой области»</w:t>
            </w:r>
            <w:r w:rsidRPr="00E6617E">
              <w:rPr>
                <w:sz w:val="22"/>
                <w:szCs w:val="22"/>
              </w:rPr>
              <w:t>.</w:t>
            </w:r>
          </w:p>
        </w:tc>
        <w:tc>
          <w:tcPr>
            <w:tcW w:w="4117" w:type="dxa"/>
            <w:shd w:val="clear" w:color="auto" w:fill="auto"/>
          </w:tcPr>
          <w:p w14:paraId="0B2A97A6" w14:textId="77777777" w:rsidR="00E6617E" w:rsidRDefault="00E6617E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2FA9" w:rsidRPr="007067AE" w14:paraId="0373A2D1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26CAD52F" w14:textId="37FBB9EE" w:rsidR="00A82FA9" w:rsidRPr="00E6617E" w:rsidRDefault="00A82FA9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Пункты 4.2.2.1 и 4.3.8 в значительной степени дублируют друг друга, в связи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с чем предлагается в п. 4.2.2.1 использовать формулировку п. 4.3.8.</w:t>
            </w:r>
          </w:p>
        </w:tc>
        <w:tc>
          <w:tcPr>
            <w:tcW w:w="4117" w:type="dxa"/>
            <w:shd w:val="clear" w:color="auto" w:fill="auto"/>
          </w:tcPr>
          <w:p w14:paraId="4E613D25" w14:textId="77777777" w:rsidR="00A82FA9" w:rsidRDefault="00A82FA9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2FA9" w:rsidRPr="007067AE" w14:paraId="227D2AEA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4359BBB9" w14:textId="2642887F" w:rsidR="00A82FA9" w:rsidRPr="00E6617E" w:rsidRDefault="00A82FA9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Представляется необходимым уточнить формулировку п. 4.2.2.3, поскольку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в предложенной редакции не ясно значение используемого выражения «наблюдаемая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оценка».</w:t>
            </w:r>
          </w:p>
        </w:tc>
        <w:tc>
          <w:tcPr>
            <w:tcW w:w="4117" w:type="dxa"/>
            <w:shd w:val="clear" w:color="auto" w:fill="auto"/>
          </w:tcPr>
          <w:p w14:paraId="6483771B" w14:textId="77777777" w:rsidR="00A82FA9" w:rsidRDefault="00A82FA9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82FA9" w:rsidRPr="007067AE" w14:paraId="6B558BD6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1506CB11" w14:textId="607D76B8" w:rsidR="00A82FA9" w:rsidRPr="00E6617E" w:rsidRDefault="00A82FA9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Пункт 4.2.2.4 предлагается исключить, поскольку он противоречит абзацу 3 части 1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статьи 54 Договора о евразийском экономическом союзе, подписантами которого являются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государства, чьи национальные органы по аккредитации, как предполагается, составят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костяк ЕААС. Указанная статья устанавливает следующее: «В случае если в орган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 одного государства-члена в целях аккредитации обращается орган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оценке соответствия, зарегистрированный на территории другого государства-члена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в качестве юридического лица, данный орган по аккредитации информирует об этом орган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 того государства-члена, на территории которого зарегистрирован орган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оценке соответствия. В указанном случае допускается проводить аккредитацию органами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по аккредитации государств-членов, если орган по аккредитации того государства-члена,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на территории которого зарегистрирован данный орган по оценке соответствия,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не осуществляет аккредитацию в требуемой области. При этом орган по аккредитации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государства-члена, на территории которого зарегистрирован орган по оценке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соответствия, имеет право выступить в качестве наблюдателя.» Таким образом,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право местного органа по аккредитации направит наблюдателей на соответствующую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оценку носит безусловный характер и не может зависеть от согласия / несогласия заявителя.</w:t>
            </w:r>
          </w:p>
          <w:p w14:paraId="755A2C85" w14:textId="77777777" w:rsidR="00A82FA9" w:rsidRDefault="00A82FA9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По этой же причине представляется необходимым исключить из Политики п. 4.3.1.</w:t>
            </w:r>
            <w:r>
              <w:rPr>
                <w:sz w:val="22"/>
                <w:szCs w:val="22"/>
              </w:rPr>
              <w:t xml:space="preserve"> </w:t>
            </w:r>
          </w:p>
          <w:p w14:paraId="3E613D24" w14:textId="0ABD3949" w:rsidR="00A82FA9" w:rsidRPr="00E6617E" w:rsidRDefault="00A82FA9" w:rsidP="00A82FA9">
            <w:pPr>
              <w:overflowPunct/>
              <w:autoSpaceDE/>
              <w:autoSpaceDN/>
              <w:adjustRightInd/>
              <w:ind w:firstLine="709"/>
              <w:jc w:val="both"/>
              <w:rPr>
                <w:sz w:val="22"/>
                <w:szCs w:val="22"/>
              </w:rPr>
            </w:pPr>
            <w:r w:rsidRPr="00E6617E">
              <w:rPr>
                <w:sz w:val="22"/>
                <w:szCs w:val="22"/>
              </w:rPr>
              <w:t>С учетом вышеизложенного полагаем целесообразным доработать проект Политики</w:t>
            </w:r>
            <w:r>
              <w:rPr>
                <w:sz w:val="22"/>
                <w:szCs w:val="22"/>
              </w:rPr>
              <w:t xml:space="preserve"> </w:t>
            </w:r>
            <w:r w:rsidRPr="00E6617E">
              <w:rPr>
                <w:sz w:val="22"/>
                <w:szCs w:val="22"/>
              </w:rPr>
              <w:t>с учетом соответствующих замечаний и предложений.</w:t>
            </w:r>
          </w:p>
        </w:tc>
        <w:tc>
          <w:tcPr>
            <w:tcW w:w="4117" w:type="dxa"/>
            <w:shd w:val="clear" w:color="auto" w:fill="auto"/>
          </w:tcPr>
          <w:p w14:paraId="33735A22" w14:textId="77777777" w:rsidR="00A82FA9" w:rsidRDefault="00A82FA9" w:rsidP="001F17A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562CACAC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14:paraId="760A6CF0" w14:textId="58D9F3B5" w:rsidR="00EE4D5F" w:rsidRDefault="003D6FB4" w:rsidP="00A82FA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447E23">
              <w:rPr>
                <w:bCs/>
                <w:sz w:val="22"/>
                <w:szCs w:val="22"/>
              </w:rPr>
              <w:t xml:space="preserve">письмо директора </w:t>
            </w:r>
            <w:r w:rsidR="00EE4D5F">
              <w:rPr>
                <w:bCs/>
                <w:sz w:val="22"/>
                <w:szCs w:val="22"/>
              </w:rPr>
              <w:t>ГУ «Национальный центр по аккредитации» Джумазода Б.Х.</w:t>
            </w:r>
          </w:p>
          <w:p w14:paraId="47B45D19" w14:textId="3509ED1B" w:rsidR="003D6FB4" w:rsidRPr="007067AE" w:rsidRDefault="00EE4D5F" w:rsidP="00EE4D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17 от 29.09.2025</w:t>
            </w:r>
            <w:r w:rsidR="003D6FB4"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927342" w:rsidRPr="007067AE" w14:paraId="37AE588F" w14:textId="77777777" w:rsidTr="00927342">
        <w:trPr>
          <w:trHeight w:val="461"/>
        </w:trPr>
        <w:tc>
          <w:tcPr>
            <w:tcW w:w="9067" w:type="dxa"/>
            <w:shd w:val="clear" w:color="auto" w:fill="auto"/>
          </w:tcPr>
          <w:p w14:paraId="6466E7CE" w14:textId="606990D1" w:rsidR="00927342" w:rsidRPr="00927342" w:rsidRDefault="00EE4D5F" w:rsidP="00EE4D5F">
            <w:pPr>
              <w:ind w:firstLine="59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Замечаний и предложений не имеем</w:t>
            </w:r>
          </w:p>
        </w:tc>
        <w:tc>
          <w:tcPr>
            <w:tcW w:w="4117" w:type="dxa"/>
            <w:shd w:val="clear" w:color="auto" w:fill="auto"/>
          </w:tcPr>
          <w:p w14:paraId="10E4E192" w14:textId="1D691C14" w:rsidR="00927342" w:rsidRPr="007067AE" w:rsidRDefault="00927342" w:rsidP="003D6FB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7CCB6D79" w14:textId="1893614C" w:rsidR="00995F7D" w:rsidRDefault="003D6FB4" w:rsidP="00A82FA9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95F7D">
              <w:rPr>
                <w:sz w:val="22"/>
                <w:szCs w:val="22"/>
              </w:rPr>
              <w:t xml:space="preserve">письмо зам. директора </w:t>
            </w:r>
            <w:r w:rsidR="00995F7D" w:rsidRPr="00995F7D">
              <w:rPr>
                <w:bCs/>
                <w:iCs/>
                <w:sz w:val="22"/>
                <w:szCs w:val="22"/>
              </w:rPr>
              <w:t xml:space="preserve">ГУ «Узбекский центр аккредитации» </w:t>
            </w:r>
            <w:r w:rsidR="00EE4D5F">
              <w:rPr>
                <w:sz w:val="22"/>
                <w:szCs w:val="22"/>
              </w:rPr>
              <w:t>Ш. Юлдашовой</w:t>
            </w:r>
          </w:p>
          <w:p w14:paraId="1A700512" w14:textId="24241DAE" w:rsidR="003D6FB4" w:rsidRPr="007067AE" w:rsidRDefault="00995F7D" w:rsidP="00EE4D5F">
            <w:pPr>
              <w:jc w:val="center"/>
              <w:rPr>
                <w:sz w:val="22"/>
                <w:szCs w:val="22"/>
              </w:rPr>
            </w:pPr>
            <w:r w:rsidRPr="00995F7D">
              <w:rPr>
                <w:bCs/>
                <w:iCs/>
                <w:sz w:val="22"/>
                <w:szCs w:val="22"/>
              </w:rPr>
              <w:t>№ 01/1605 от 29.09.2025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384816" w:rsidRPr="007067AE" w14:paraId="0B54BB8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14D0DA2A" w14:textId="01A00932" w:rsidR="00396531" w:rsidRDefault="00995F7D" w:rsidP="00A72FA2">
            <w:pPr>
              <w:pStyle w:val="aa"/>
              <w:ind w:left="0" w:firstLine="5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Сообщаем следующее: </w:t>
            </w:r>
            <w:r w:rsidR="00A72FA2">
              <w:rPr>
                <w:sz w:val="22"/>
                <w:szCs w:val="22"/>
              </w:rPr>
              <w:t>Предложения и замечания к проекту документа были направлены ранее письмом за № 01/1227 от 22.07.2025, однако, принимая во внимание, что часть из них не нашла отражения в новой редакции, считаем необходимым дополнительно обратить внимание на структуру документа.</w:t>
            </w:r>
          </w:p>
          <w:p w14:paraId="620C0170" w14:textId="164F34C5" w:rsidR="00A72FA2" w:rsidRDefault="00A72FA2" w:rsidP="00A72FA2">
            <w:pPr>
              <w:pStyle w:val="aa"/>
              <w:ind w:left="0" w:firstLine="5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Политика должна быть направлена на подтверждение приверженности организации заявленным целям и принципам, а потому ее структура должна соответствовать общепринятому формату и включать такие разделы, как введение, цель политики, область применения, политическое заявление, основные принципы, связанные документы и т.п.</w:t>
            </w:r>
          </w:p>
          <w:p w14:paraId="4CA50236" w14:textId="575C7204" w:rsidR="00A72FA2" w:rsidRPr="00927342" w:rsidRDefault="00A72FA2" w:rsidP="00A72FA2">
            <w:pPr>
              <w:pStyle w:val="aa"/>
              <w:ind w:left="0" w:firstLine="5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свою очередь, сообщаем, что </w:t>
            </w:r>
            <w:r w:rsidRPr="00A72FA2">
              <w:rPr>
                <w:bCs/>
                <w:iCs/>
                <w:sz w:val="22"/>
                <w:szCs w:val="22"/>
              </w:rPr>
              <w:t>ГУ «Узбекский центр аккредитации»</w:t>
            </w:r>
            <w:r>
              <w:rPr>
                <w:bCs/>
                <w:iCs/>
                <w:sz w:val="22"/>
                <w:szCs w:val="22"/>
              </w:rPr>
              <w:t xml:space="preserve"> готов взять на себя инициативу по подготовке проекта настоящего документа с учетом видения и подходов нашей организации и направить его в КЦА и Бюро по стандартам МГС для последующего рассмотрения и согласования.</w:t>
            </w:r>
          </w:p>
        </w:tc>
        <w:tc>
          <w:tcPr>
            <w:tcW w:w="4117" w:type="dxa"/>
            <w:shd w:val="clear" w:color="auto" w:fill="auto"/>
          </w:tcPr>
          <w:p w14:paraId="7152AA1B" w14:textId="380E0279" w:rsidR="00124B97" w:rsidRP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3211D4">
      <w:headerReference w:type="default" r:id="rId8"/>
      <w:footerReference w:type="default" r:id="rId9"/>
      <w:pgSz w:w="16838" w:h="11906" w:orient="landscape"/>
      <w:pgMar w:top="24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26096" w14:textId="77777777" w:rsidR="00815E4E" w:rsidRDefault="00815E4E" w:rsidP="00E97949">
      <w:r>
        <w:separator/>
      </w:r>
    </w:p>
  </w:endnote>
  <w:endnote w:type="continuationSeparator" w:id="0">
    <w:p w14:paraId="52F8DE43" w14:textId="77777777" w:rsidR="00815E4E" w:rsidRDefault="00815E4E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376ABFBE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986507" w:rsidRPr="00986507">
      <w:rPr>
        <w:sz w:val="20"/>
      </w:rPr>
      <w:t>8</w:t>
    </w:r>
    <w:r w:rsidRPr="002B7D5D">
      <w:rPr>
        <w:sz w:val="20"/>
      </w:rPr>
      <w:t xml:space="preserve"> к протоколу РГ РОА № </w:t>
    </w:r>
    <w:r w:rsidR="00A929A6">
      <w:rPr>
        <w:sz w:val="20"/>
      </w:rPr>
      <w:t>2</w:t>
    </w:r>
    <w:r w:rsidR="00396531">
      <w:rPr>
        <w:sz w:val="20"/>
      </w:rPr>
      <w:t>2</w:t>
    </w:r>
    <w:r w:rsidRPr="002B7D5D">
      <w:rPr>
        <w:sz w:val="20"/>
      </w:rPr>
      <w:t>-20</w:t>
    </w:r>
    <w:r w:rsidR="00694637">
      <w:rPr>
        <w:sz w:val="20"/>
      </w:rPr>
      <w:t>2</w:t>
    </w:r>
    <w:r w:rsidR="000A1A04">
      <w:rPr>
        <w:sz w:val="20"/>
      </w:rPr>
      <w:t>5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5C1B0" w14:textId="77777777" w:rsidR="00815E4E" w:rsidRDefault="00815E4E" w:rsidP="00E97949">
      <w:r>
        <w:separator/>
      </w:r>
    </w:p>
  </w:footnote>
  <w:footnote w:type="continuationSeparator" w:id="0">
    <w:p w14:paraId="56C6B980" w14:textId="77777777" w:rsidR="00815E4E" w:rsidRDefault="00815E4E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79E6CD1"/>
    <w:multiLevelType w:val="hybridMultilevel"/>
    <w:tmpl w:val="1BB668BC"/>
    <w:lvl w:ilvl="0" w:tplc="86C84792">
      <w:start w:val="1"/>
      <w:numFmt w:val="decimal"/>
      <w:lvlText w:val="%1."/>
      <w:lvlJc w:val="left"/>
      <w:pPr>
        <w:ind w:left="1069" w:hanging="360"/>
      </w:p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>
      <w:start w:val="1"/>
      <w:numFmt w:val="lowerRoman"/>
      <w:lvlText w:val="%3."/>
      <w:lvlJc w:val="right"/>
      <w:pPr>
        <w:ind w:left="2509" w:hanging="180"/>
      </w:pPr>
    </w:lvl>
    <w:lvl w:ilvl="3" w:tplc="2000000F">
      <w:start w:val="1"/>
      <w:numFmt w:val="decimal"/>
      <w:lvlText w:val="%4."/>
      <w:lvlJc w:val="left"/>
      <w:pPr>
        <w:ind w:left="3229" w:hanging="360"/>
      </w:pPr>
    </w:lvl>
    <w:lvl w:ilvl="4" w:tplc="20000019">
      <w:start w:val="1"/>
      <w:numFmt w:val="lowerLetter"/>
      <w:lvlText w:val="%5."/>
      <w:lvlJc w:val="left"/>
      <w:pPr>
        <w:ind w:left="3949" w:hanging="360"/>
      </w:pPr>
    </w:lvl>
    <w:lvl w:ilvl="5" w:tplc="2000001B">
      <w:start w:val="1"/>
      <w:numFmt w:val="lowerRoman"/>
      <w:lvlText w:val="%6."/>
      <w:lvlJc w:val="right"/>
      <w:pPr>
        <w:ind w:left="4669" w:hanging="180"/>
      </w:pPr>
    </w:lvl>
    <w:lvl w:ilvl="6" w:tplc="2000000F">
      <w:start w:val="1"/>
      <w:numFmt w:val="decimal"/>
      <w:lvlText w:val="%7."/>
      <w:lvlJc w:val="left"/>
      <w:pPr>
        <w:ind w:left="5389" w:hanging="360"/>
      </w:pPr>
    </w:lvl>
    <w:lvl w:ilvl="7" w:tplc="20000019">
      <w:start w:val="1"/>
      <w:numFmt w:val="lowerLetter"/>
      <w:lvlText w:val="%8."/>
      <w:lvlJc w:val="left"/>
      <w:pPr>
        <w:ind w:left="6109" w:hanging="360"/>
      </w:pPr>
    </w:lvl>
    <w:lvl w:ilvl="8" w:tplc="2000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" w15:restartNumberingAfterBreak="0">
    <w:nsid w:val="0B340AF5"/>
    <w:multiLevelType w:val="hybridMultilevel"/>
    <w:tmpl w:val="1BDAC770"/>
    <w:lvl w:ilvl="0" w:tplc="60785A8C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4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BCD2CD7"/>
    <w:multiLevelType w:val="hybridMultilevel"/>
    <w:tmpl w:val="DD0C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10"/>
  </w:num>
  <w:num w:numId="5">
    <w:abstractNumId w:val="19"/>
  </w:num>
  <w:num w:numId="6">
    <w:abstractNumId w:val="4"/>
  </w:num>
  <w:num w:numId="7">
    <w:abstractNumId w:val="16"/>
  </w:num>
  <w:num w:numId="8">
    <w:abstractNumId w:val="15"/>
  </w:num>
  <w:num w:numId="9">
    <w:abstractNumId w:val="11"/>
  </w:num>
  <w:num w:numId="10">
    <w:abstractNumId w:val="20"/>
  </w:num>
  <w:num w:numId="11">
    <w:abstractNumId w:val="6"/>
  </w:num>
  <w:num w:numId="12">
    <w:abstractNumId w:val="14"/>
  </w:num>
  <w:num w:numId="13">
    <w:abstractNumId w:val="21"/>
  </w:num>
  <w:num w:numId="14">
    <w:abstractNumId w:val="12"/>
  </w:num>
  <w:num w:numId="15">
    <w:abstractNumId w:val="1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1A04"/>
    <w:rsid w:val="000A2FA9"/>
    <w:rsid w:val="000A3332"/>
    <w:rsid w:val="000A384B"/>
    <w:rsid w:val="000A4FE3"/>
    <w:rsid w:val="000B3035"/>
    <w:rsid w:val="000B5015"/>
    <w:rsid w:val="000E0B5C"/>
    <w:rsid w:val="000E3934"/>
    <w:rsid w:val="000F2B54"/>
    <w:rsid w:val="000F49FB"/>
    <w:rsid w:val="00101BE8"/>
    <w:rsid w:val="00115673"/>
    <w:rsid w:val="00121875"/>
    <w:rsid w:val="00124235"/>
    <w:rsid w:val="00124B97"/>
    <w:rsid w:val="00131F80"/>
    <w:rsid w:val="00134E2A"/>
    <w:rsid w:val="00136631"/>
    <w:rsid w:val="00136A30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72E1D"/>
    <w:rsid w:val="00183AD2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011DC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5347"/>
    <w:rsid w:val="0029653A"/>
    <w:rsid w:val="002C2208"/>
    <w:rsid w:val="002F0F6F"/>
    <w:rsid w:val="0030278C"/>
    <w:rsid w:val="003211D4"/>
    <w:rsid w:val="00321A79"/>
    <w:rsid w:val="00330090"/>
    <w:rsid w:val="00331715"/>
    <w:rsid w:val="00334147"/>
    <w:rsid w:val="00334BE7"/>
    <w:rsid w:val="00342886"/>
    <w:rsid w:val="00356644"/>
    <w:rsid w:val="00365094"/>
    <w:rsid w:val="00381135"/>
    <w:rsid w:val="00384816"/>
    <w:rsid w:val="00396246"/>
    <w:rsid w:val="00396531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47E23"/>
    <w:rsid w:val="00461EB7"/>
    <w:rsid w:val="004624B1"/>
    <w:rsid w:val="004710B1"/>
    <w:rsid w:val="00487F84"/>
    <w:rsid w:val="00493946"/>
    <w:rsid w:val="004A1BFC"/>
    <w:rsid w:val="004B149A"/>
    <w:rsid w:val="004B510C"/>
    <w:rsid w:val="004C22BD"/>
    <w:rsid w:val="004C46F6"/>
    <w:rsid w:val="004C7580"/>
    <w:rsid w:val="004D1FA2"/>
    <w:rsid w:val="004D239D"/>
    <w:rsid w:val="004D2C32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9665B"/>
    <w:rsid w:val="005A0821"/>
    <w:rsid w:val="005B0D3F"/>
    <w:rsid w:val="005B7629"/>
    <w:rsid w:val="005B7C08"/>
    <w:rsid w:val="005C0C43"/>
    <w:rsid w:val="005C60A9"/>
    <w:rsid w:val="005D6941"/>
    <w:rsid w:val="00601369"/>
    <w:rsid w:val="00627031"/>
    <w:rsid w:val="0063174D"/>
    <w:rsid w:val="00642FA4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014F0"/>
    <w:rsid w:val="007141C8"/>
    <w:rsid w:val="007159D2"/>
    <w:rsid w:val="00715F61"/>
    <w:rsid w:val="0074366C"/>
    <w:rsid w:val="007512FC"/>
    <w:rsid w:val="00753693"/>
    <w:rsid w:val="0077681A"/>
    <w:rsid w:val="00776C10"/>
    <w:rsid w:val="007932B0"/>
    <w:rsid w:val="007A4299"/>
    <w:rsid w:val="007C29D0"/>
    <w:rsid w:val="007C5EFB"/>
    <w:rsid w:val="007D6365"/>
    <w:rsid w:val="007F5565"/>
    <w:rsid w:val="007F7782"/>
    <w:rsid w:val="00804804"/>
    <w:rsid w:val="008103CE"/>
    <w:rsid w:val="008123A4"/>
    <w:rsid w:val="00815E4E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82026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27342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86507"/>
    <w:rsid w:val="00995F7D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D7A9A"/>
    <w:rsid w:val="009F59BC"/>
    <w:rsid w:val="00A126CB"/>
    <w:rsid w:val="00A166EF"/>
    <w:rsid w:val="00A279B4"/>
    <w:rsid w:val="00A32EEC"/>
    <w:rsid w:val="00A46A1F"/>
    <w:rsid w:val="00A621C2"/>
    <w:rsid w:val="00A62C03"/>
    <w:rsid w:val="00A72820"/>
    <w:rsid w:val="00A72FA2"/>
    <w:rsid w:val="00A7404A"/>
    <w:rsid w:val="00A82FA9"/>
    <w:rsid w:val="00A929A6"/>
    <w:rsid w:val="00AA3A03"/>
    <w:rsid w:val="00AB0298"/>
    <w:rsid w:val="00AB150F"/>
    <w:rsid w:val="00AB3E17"/>
    <w:rsid w:val="00AB595E"/>
    <w:rsid w:val="00AB601C"/>
    <w:rsid w:val="00AC0159"/>
    <w:rsid w:val="00AC0442"/>
    <w:rsid w:val="00AC0D84"/>
    <w:rsid w:val="00AC5A80"/>
    <w:rsid w:val="00AE2182"/>
    <w:rsid w:val="00AE4A18"/>
    <w:rsid w:val="00AE50EE"/>
    <w:rsid w:val="00AF186D"/>
    <w:rsid w:val="00AF3C6D"/>
    <w:rsid w:val="00B067E6"/>
    <w:rsid w:val="00B100CC"/>
    <w:rsid w:val="00B10D86"/>
    <w:rsid w:val="00B20D03"/>
    <w:rsid w:val="00B213E3"/>
    <w:rsid w:val="00B25A09"/>
    <w:rsid w:val="00B33EC0"/>
    <w:rsid w:val="00B4331F"/>
    <w:rsid w:val="00B55595"/>
    <w:rsid w:val="00B55F6C"/>
    <w:rsid w:val="00B96ADB"/>
    <w:rsid w:val="00BA70D2"/>
    <w:rsid w:val="00BB1255"/>
    <w:rsid w:val="00BB1D9F"/>
    <w:rsid w:val="00BB36FB"/>
    <w:rsid w:val="00BC79CC"/>
    <w:rsid w:val="00BD18EB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A3889"/>
    <w:rsid w:val="00CC07BB"/>
    <w:rsid w:val="00CC354E"/>
    <w:rsid w:val="00CC7130"/>
    <w:rsid w:val="00CE4100"/>
    <w:rsid w:val="00CF3845"/>
    <w:rsid w:val="00D11BBE"/>
    <w:rsid w:val="00D129F5"/>
    <w:rsid w:val="00D14137"/>
    <w:rsid w:val="00D22005"/>
    <w:rsid w:val="00D220CF"/>
    <w:rsid w:val="00D256FE"/>
    <w:rsid w:val="00D31E54"/>
    <w:rsid w:val="00D33C20"/>
    <w:rsid w:val="00D37716"/>
    <w:rsid w:val="00D526FC"/>
    <w:rsid w:val="00D64A4E"/>
    <w:rsid w:val="00D71EF2"/>
    <w:rsid w:val="00D753BF"/>
    <w:rsid w:val="00D81516"/>
    <w:rsid w:val="00D82B41"/>
    <w:rsid w:val="00D853A0"/>
    <w:rsid w:val="00D91EBF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6617E"/>
    <w:rsid w:val="00E76682"/>
    <w:rsid w:val="00E76FB7"/>
    <w:rsid w:val="00E775B3"/>
    <w:rsid w:val="00E97949"/>
    <w:rsid w:val="00EB1FDD"/>
    <w:rsid w:val="00EC34BC"/>
    <w:rsid w:val="00EC5FDD"/>
    <w:rsid w:val="00EE356C"/>
    <w:rsid w:val="00EE35C4"/>
    <w:rsid w:val="00EE4D5F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1A53"/>
    <w:rsid w:val="00F654B6"/>
    <w:rsid w:val="00F65958"/>
    <w:rsid w:val="00F67B03"/>
    <w:rsid w:val="00F90196"/>
    <w:rsid w:val="00F95AFE"/>
    <w:rsid w:val="00FB112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40E4-1190-4FEC-90FB-D9E62ECD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11</cp:revision>
  <dcterms:created xsi:type="dcterms:W3CDTF">2025-09-23T05:46:00Z</dcterms:created>
  <dcterms:modified xsi:type="dcterms:W3CDTF">2025-11-06T07:05:00Z</dcterms:modified>
</cp:coreProperties>
</file>